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9EB358" w14:textId="55A178D9" w:rsidR="00420AB1" w:rsidRDefault="00420AB1" w:rsidP="00420AB1">
      <w:pPr>
        <w:jc w:val="center"/>
        <w:rPr>
          <w:b/>
          <w:bCs/>
          <w:sz w:val="24"/>
          <w:szCs w:val="24"/>
        </w:rPr>
      </w:pPr>
      <w:r>
        <w:rPr>
          <w:b/>
          <w:bCs/>
          <w:sz w:val="24"/>
          <w:szCs w:val="24"/>
        </w:rPr>
        <w:t xml:space="preserve">ASCC Natural and Mathematical Sciences Panel </w:t>
      </w:r>
    </w:p>
    <w:p w14:paraId="435333E0" w14:textId="01663723" w:rsidR="00420AB1" w:rsidRDefault="00CD31F4" w:rsidP="00420AB1">
      <w:pPr>
        <w:jc w:val="center"/>
        <w:rPr>
          <w:sz w:val="24"/>
          <w:szCs w:val="24"/>
        </w:rPr>
      </w:pPr>
      <w:r>
        <w:rPr>
          <w:sz w:val="24"/>
          <w:szCs w:val="24"/>
        </w:rPr>
        <w:t>A</w:t>
      </w:r>
      <w:r w:rsidR="00C863F5">
        <w:rPr>
          <w:sz w:val="24"/>
          <w:szCs w:val="24"/>
        </w:rPr>
        <w:t>pproved</w:t>
      </w:r>
      <w:r w:rsidR="00420AB1">
        <w:rPr>
          <w:sz w:val="24"/>
          <w:szCs w:val="24"/>
        </w:rPr>
        <w:t xml:space="preserve"> Minutes</w:t>
      </w:r>
    </w:p>
    <w:p w14:paraId="69F9EA58" w14:textId="105B4B7A" w:rsidR="00420AB1" w:rsidRDefault="00420AB1" w:rsidP="00420AB1">
      <w:pPr>
        <w:rPr>
          <w:sz w:val="24"/>
          <w:szCs w:val="24"/>
        </w:rPr>
      </w:pPr>
      <w:r>
        <w:rPr>
          <w:sz w:val="24"/>
          <w:szCs w:val="24"/>
        </w:rPr>
        <w:t>Thursday, September 8, 2022</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9:00 AM – 10:30 AM</w:t>
      </w:r>
    </w:p>
    <w:p w14:paraId="33A0273C" w14:textId="73E05499" w:rsidR="00420AB1" w:rsidRDefault="00420AB1" w:rsidP="00420AB1">
      <w:pPr>
        <w:rPr>
          <w:sz w:val="24"/>
          <w:szCs w:val="24"/>
        </w:rPr>
      </w:pPr>
      <w:r>
        <w:rPr>
          <w:sz w:val="24"/>
          <w:szCs w:val="24"/>
        </w:rPr>
        <w:t>CarmenZoom</w:t>
      </w:r>
    </w:p>
    <w:p w14:paraId="75EEAE39" w14:textId="13D31A7B" w:rsidR="00420AB1" w:rsidRDefault="00420AB1" w:rsidP="00420AB1">
      <w:pPr>
        <w:rPr>
          <w:sz w:val="24"/>
          <w:szCs w:val="24"/>
        </w:rPr>
      </w:pPr>
      <w:r>
        <w:rPr>
          <w:b/>
          <w:bCs/>
          <w:sz w:val="24"/>
          <w:szCs w:val="24"/>
        </w:rPr>
        <w:t>Attendees</w:t>
      </w:r>
      <w:r>
        <w:rPr>
          <w:sz w:val="24"/>
          <w:szCs w:val="24"/>
        </w:rPr>
        <w:t xml:space="preserve">:  </w:t>
      </w:r>
      <w:r w:rsidR="006B1667">
        <w:rPr>
          <w:sz w:val="24"/>
          <w:szCs w:val="24"/>
        </w:rPr>
        <w:t>Barker, Cody, Cole, Dinan, Hamilton, Kaizar, Ottesen, Vankeerbergen</w:t>
      </w:r>
    </w:p>
    <w:p w14:paraId="64063B9E" w14:textId="16E37DE0" w:rsidR="00420AB1" w:rsidRPr="00420AB1" w:rsidRDefault="00420AB1" w:rsidP="00420AB1">
      <w:pPr>
        <w:rPr>
          <w:b/>
          <w:bCs/>
          <w:sz w:val="24"/>
          <w:szCs w:val="24"/>
        </w:rPr>
      </w:pPr>
      <w:r>
        <w:rPr>
          <w:b/>
          <w:bCs/>
          <w:sz w:val="24"/>
          <w:szCs w:val="24"/>
        </w:rPr>
        <w:t>Agenda:</w:t>
      </w:r>
    </w:p>
    <w:p w14:paraId="5291201B" w14:textId="77777777" w:rsidR="005732D1" w:rsidRPr="005732D1" w:rsidRDefault="005732D1" w:rsidP="005732D1">
      <w:pPr>
        <w:numPr>
          <w:ilvl w:val="0"/>
          <w:numId w:val="2"/>
        </w:numPr>
        <w:rPr>
          <w:sz w:val="24"/>
          <w:szCs w:val="24"/>
        </w:rPr>
      </w:pPr>
      <w:r w:rsidRPr="005732D1">
        <w:rPr>
          <w:sz w:val="24"/>
          <w:szCs w:val="24"/>
        </w:rPr>
        <w:t>Welcome and introductions.</w:t>
      </w:r>
    </w:p>
    <w:p w14:paraId="24897E4F" w14:textId="77777777" w:rsidR="005732D1" w:rsidRPr="005732D1" w:rsidRDefault="005732D1" w:rsidP="005732D1">
      <w:pPr>
        <w:numPr>
          <w:ilvl w:val="0"/>
          <w:numId w:val="2"/>
        </w:numPr>
        <w:rPr>
          <w:sz w:val="24"/>
          <w:szCs w:val="24"/>
        </w:rPr>
      </w:pPr>
      <w:r w:rsidRPr="005732D1">
        <w:rPr>
          <w:sz w:val="24"/>
          <w:szCs w:val="24"/>
        </w:rPr>
        <w:t>Overview of the work of the panel</w:t>
      </w:r>
    </w:p>
    <w:p w14:paraId="49BF4FA6" w14:textId="0BAA18EB" w:rsidR="005732D1" w:rsidRPr="00F053AC" w:rsidRDefault="005732D1" w:rsidP="005732D1">
      <w:pPr>
        <w:numPr>
          <w:ilvl w:val="0"/>
          <w:numId w:val="2"/>
        </w:numPr>
        <w:rPr>
          <w:sz w:val="24"/>
          <w:szCs w:val="24"/>
        </w:rPr>
      </w:pPr>
      <w:r w:rsidRPr="005732D1">
        <w:rPr>
          <w:sz w:val="24"/>
          <w:szCs w:val="24"/>
        </w:rPr>
        <w:t>Approval of 5-9-22 minutes</w:t>
      </w:r>
    </w:p>
    <w:p w14:paraId="178AB0B6" w14:textId="4FD82DC8" w:rsidR="004300CE" w:rsidRPr="005732D1" w:rsidRDefault="00554424" w:rsidP="004300CE">
      <w:pPr>
        <w:numPr>
          <w:ilvl w:val="1"/>
          <w:numId w:val="2"/>
        </w:numPr>
        <w:rPr>
          <w:sz w:val="24"/>
          <w:szCs w:val="24"/>
        </w:rPr>
      </w:pPr>
      <w:r w:rsidRPr="00F053AC">
        <w:rPr>
          <w:sz w:val="24"/>
          <w:szCs w:val="24"/>
        </w:rPr>
        <w:t xml:space="preserve">Hamilton, Kaizar; </w:t>
      </w:r>
      <w:r w:rsidRPr="00F053AC">
        <w:rPr>
          <w:b/>
          <w:bCs/>
          <w:sz w:val="24"/>
          <w:szCs w:val="24"/>
        </w:rPr>
        <w:t>unanimously approved</w:t>
      </w:r>
    </w:p>
    <w:p w14:paraId="4B5F80ED" w14:textId="3FCFC020" w:rsidR="005732D1" w:rsidRPr="00F053AC" w:rsidRDefault="005732D1" w:rsidP="005732D1">
      <w:pPr>
        <w:numPr>
          <w:ilvl w:val="0"/>
          <w:numId w:val="2"/>
        </w:numPr>
        <w:rPr>
          <w:sz w:val="24"/>
          <w:szCs w:val="24"/>
        </w:rPr>
      </w:pPr>
      <w:r w:rsidRPr="005732D1">
        <w:rPr>
          <w:sz w:val="24"/>
          <w:szCs w:val="24"/>
        </w:rPr>
        <w:t>Physics 5810 (renumbering of existing course from 6810)</w:t>
      </w:r>
    </w:p>
    <w:p w14:paraId="52A2A498" w14:textId="768C33E2" w:rsidR="00C72C6D" w:rsidRPr="00C72C6D" w:rsidRDefault="00C72C6D" w:rsidP="00C72C6D">
      <w:pPr>
        <w:numPr>
          <w:ilvl w:val="1"/>
          <w:numId w:val="2"/>
        </w:numPr>
        <w:rPr>
          <w:sz w:val="24"/>
          <w:szCs w:val="24"/>
        </w:rPr>
      </w:pPr>
      <w:r>
        <w:rPr>
          <w:sz w:val="24"/>
          <w:szCs w:val="24"/>
        </w:rPr>
        <w:t xml:space="preserve">Regarding prerequisites, the Panel recommends that the department also consider whether or not to include </w:t>
      </w:r>
      <w:r w:rsidR="00E90139">
        <w:rPr>
          <w:sz w:val="24"/>
          <w:szCs w:val="24"/>
        </w:rPr>
        <w:t xml:space="preserve">“or </w:t>
      </w:r>
      <w:r>
        <w:rPr>
          <w:sz w:val="24"/>
          <w:szCs w:val="24"/>
        </w:rPr>
        <w:t>graduate standing,</w:t>
      </w:r>
      <w:r w:rsidR="00E90139">
        <w:rPr>
          <w:sz w:val="24"/>
          <w:szCs w:val="24"/>
        </w:rPr>
        <w:t xml:space="preserve"> or</w:t>
      </w:r>
      <w:r>
        <w:rPr>
          <w:sz w:val="24"/>
          <w:szCs w:val="24"/>
        </w:rPr>
        <w:t xml:space="preserve"> permission of instructor,</w:t>
      </w:r>
      <w:r w:rsidR="00E90139">
        <w:rPr>
          <w:sz w:val="24"/>
          <w:szCs w:val="24"/>
        </w:rPr>
        <w:t>”</w:t>
      </w:r>
      <w:r>
        <w:rPr>
          <w:sz w:val="24"/>
          <w:szCs w:val="24"/>
        </w:rPr>
        <w:t xml:space="preserve"> and (where applicable) the honors versions of any of the courses currently listed on the curriculum.osu.edu form.  </w:t>
      </w:r>
    </w:p>
    <w:p w14:paraId="15B41567" w14:textId="6F224E7D" w:rsidR="0098570F" w:rsidRPr="00F053AC" w:rsidRDefault="00F84A46" w:rsidP="00554424">
      <w:pPr>
        <w:numPr>
          <w:ilvl w:val="1"/>
          <w:numId w:val="2"/>
        </w:numPr>
        <w:rPr>
          <w:sz w:val="24"/>
          <w:szCs w:val="24"/>
        </w:rPr>
      </w:pPr>
      <w:r>
        <w:rPr>
          <w:sz w:val="24"/>
          <w:szCs w:val="24"/>
        </w:rPr>
        <w:t>In the syllabus, please include a course schedule that approximates what topics the instructor anticipates cover</w:t>
      </w:r>
      <w:r w:rsidR="007E684E">
        <w:rPr>
          <w:sz w:val="24"/>
          <w:szCs w:val="24"/>
        </w:rPr>
        <w:t xml:space="preserve">ing </w:t>
      </w:r>
      <w:r w:rsidR="007F511D">
        <w:rPr>
          <w:sz w:val="24"/>
          <w:szCs w:val="24"/>
        </w:rPr>
        <w:t>weekly</w:t>
      </w:r>
      <w:r w:rsidR="004740A3">
        <w:rPr>
          <w:sz w:val="24"/>
          <w:szCs w:val="24"/>
        </w:rPr>
        <w:t xml:space="preserve"> </w:t>
      </w:r>
      <w:r w:rsidR="00F605BA">
        <w:rPr>
          <w:sz w:val="24"/>
          <w:szCs w:val="24"/>
        </w:rPr>
        <w:t xml:space="preserve">(if not daily, as applicable) </w:t>
      </w:r>
      <w:r w:rsidR="0098570F" w:rsidRPr="00F053AC">
        <w:rPr>
          <w:sz w:val="24"/>
          <w:szCs w:val="24"/>
        </w:rPr>
        <w:t xml:space="preserve">so students have a stronger sense of the pacing of the </w:t>
      </w:r>
      <w:r w:rsidR="004740A3">
        <w:rPr>
          <w:sz w:val="24"/>
          <w:szCs w:val="24"/>
        </w:rPr>
        <w:t>class</w:t>
      </w:r>
      <w:r w:rsidR="00172384">
        <w:rPr>
          <w:sz w:val="24"/>
          <w:szCs w:val="24"/>
        </w:rPr>
        <w:t xml:space="preserve"> material for the term</w:t>
      </w:r>
      <w:r w:rsidR="004740A3">
        <w:rPr>
          <w:sz w:val="24"/>
          <w:szCs w:val="24"/>
        </w:rPr>
        <w:t xml:space="preserve">.  This course schedule should also feature titles, author names, and/or links to downloads for reading assignments, as well as </w:t>
      </w:r>
      <w:r w:rsidR="00011493">
        <w:rPr>
          <w:sz w:val="24"/>
          <w:szCs w:val="24"/>
        </w:rPr>
        <w:t xml:space="preserve">any important benchmarks.  </w:t>
      </w:r>
    </w:p>
    <w:p w14:paraId="72BED7A2" w14:textId="23AA8B49" w:rsidR="009E6F2B" w:rsidRDefault="009E6F2B" w:rsidP="004E37ED">
      <w:pPr>
        <w:numPr>
          <w:ilvl w:val="1"/>
          <w:numId w:val="2"/>
        </w:numPr>
        <w:rPr>
          <w:sz w:val="24"/>
          <w:szCs w:val="24"/>
        </w:rPr>
      </w:pPr>
      <w:r>
        <w:rPr>
          <w:sz w:val="24"/>
          <w:szCs w:val="24"/>
        </w:rPr>
        <w:t>The Panel asks that the syllabus include further detail</w:t>
      </w:r>
      <w:r w:rsidR="004E37ED">
        <w:rPr>
          <w:sz w:val="24"/>
          <w:szCs w:val="24"/>
        </w:rPr>
        <w:t xml:space="preserve"> about </w:t>
      </w:r>
      <w:r>
        <w:rPr>
          <w:sz w:val="24"/>
          <w:szCs w:val="24"/>
        </w:rPr>
        <w:t xml:space="preserve">the anticipated </w:t>
      </w:r>
      <w:r w:rsidR="004E37ED">
        <w:rPr>
          <w:sz w:val="24"/>
          <w:szCs w:val="24"/>
        </w:rPr>
        <w:t xml:space="preserve">workload </w:t>
      </w:r>
      <w:r w:rsidR="004C4672">
        <w:rPr>
          <w:sz w:val="24"/>
          <w:szCs w:val="24"/>
        </w:rPr>
        <w:t>and</w:t>
      </w:r>
      <w:r w:rsidR="00376CE1">
        <w:rPr>
          <w:sz w:val="24"/>
          <w:szCs w:val="24"/>
        </w:rPr>
        <w:t xml:space="preserve"> the expectations for specific</w:t>
      </w:r>
      <w:r w:rsidR="004C4672">
        <w:rPr>
          <w:sz w:val="24"/>
          <w:szCs w:val="24"/>
        </w:rPr>
        <w:t xml:space="preserve"> assignments </w:t>
      </w:r>
      <w:r w:rsidR="00376CE1">
        <w:rPr>
          <w:sz w:val="24"/>
          <w:szCs w:val="24"/>
        </w:rPr>
        <w:t>in</w:t>
      </w:r>
      <w:r>
        <w:rPr>
          <w:sz w:val="24"/>
          <w:szCs w:val="24"/>
        </w:rPr>
        <w:t xml:space="preserve"> the course</w:t>
      </w:r>
      <w:r w:rsidR="00C26C94">
        <w:rPr>
          <w:sz w:val="24"/>
          <w:szCs w:val="24"/>
        </w:rPr>
        <w:t xml:space="preserve"> — </w:t>
      </w:r>
      <w:r w:rsidR="004E37ED">
        <w:rPr>
          <w:sz w:val="24"/>
          <w:szCs w:val="24"/>
        </w:rPr>
        <w:t xml:space="preserve">especially </w:t>
      </w:r>
      <w:r>
        <w:rPr>
          <w:sz w:val="24"/>
          <w:szCs w:val="24"/>
        </w:rPr>
        <w:t>regarding</w:t>
      </w:r>
      <w:r w:rsidR="004E37ED">
        <w:rPr>
          <w:sz w:val="24"/>
          <w:szCs w:val="24"/>
        </w:rPr>
        <w:t xml:space="preserve"> what</w:t>
      </w:r>
      <w:r w:rsidR="007F511D">
        <w:rPr>
          <w:sz w:val="24"/>
          <w:szCs w:val="24"/>
        </w:rPr>
        <w:t xml:space="preserve"> the</w:t>
      </w:r>
      <w:r w:rsidR="004E37ED">
        <w:rPr>
          <w:sz w:val="24"/>
          <w:szCs w:val="24"/>
        </w:rPr>
        <w:t xml:space="preserve"> final project entails</w:t>
      </w:r>
      <w:r w:rsidR="007F511D">
        <w:rPr>
          <w:sz w:val="24"/>
          <w:szCs w:val="24"/>
        </w:rPr>
        <w:t>, as it comprises 30% of the students’ overall grade for the term</w:t>
      </w:r>
      <w:r>
        <w:rPr>
          <w:sz w:val="24"/>
          <w:szCs w:val="24"/>
        </w:rPr>
        <w:t>.  For instance:</w:t>
      </w:r>
    </w:p>
    <w:p w14:paraId="3375328F" w14:textId="6FFE3F00" w:rsidR="009E6F2B" w:rsidRDefault="009E6F2B" w:rsidP="009E6F2B">
      <w:pPr>
        <w:numPr>
          <w:ilvl w:val="2"/>
          <w:numId w:val="2"/>
        </w:numPr>
        <w:rPr>
          <w:sz w:val="24"/>
          <w:szCs w:val="24"/>
        </w:rPr>
      </w:pPr>
      <w:r>
        <w:rPr>
          <w:sz w:val="24"/>
          <w:szCs w:val="24"/>
        </w:rPr>
        <w:t>H</w:t>
      </w:r>
      <w:r w:rsidR="00A11BCD">
        <w:rPr>
          <w:sz w:val="24"/>
          <w:szCs w:val="24"/>
        </w:rPr>
        <w:t xml:space="preserve">ow </w:t>
      </w:r>
      <w:r>
        <w:rPr>
          <w:sz w:val="24"/>
          <w:szCs w:val="24"/>
        </w:rPr>
        <w:t>is the</w:t>
      </w:r>
      <w:r w:rsidR="00C26C94">
        <w:rPr>
          <w:sz w:val="24"/>
          <w:szCs w:val="24"/>
        </w:rPr>
        <w:t xml:space="preserve"> final</w:t>
      </w:r>
      <w:r>
        <w:rPr>
          <w:sz w:val="24"/>
          <w:szCs w:val="24"/>
        </w:rPr>
        <w:t xml:space="preserve"> project scaffolded</w:t>
      </w:r>
      <w:r w:rsidR="00E512A8">
        <w:rPr>
          <w:sz w:val="24"/>
          <w:szCs w:val="24"/>
        </w:rPr>
        <w:t xml:space="preserve"> into the course</w:t>
      </w:r>
      <w:r w:rsidR="00C26C94">
        <w:rPr>
          <w:sz w:val="24"/>
          <w:szCs w:val="24"/>
        </w:rPr>
        <w:t xml:space="preserve"> </w:t>
      </w:r>
      <w:r w:rsidR="00E512A8">
        <w:rPr>
          <w:sz w:val="24"/>
          <w:szCs w:val="24"/>
        </w:rPr>
        <w:t xml:space="preserve">throughout the </w:t>
      </w:r>
      <w:r w:rsidR="00C26C94">
        <w:rPr>
          <w:sz w:val="24"/>
          <w:szCs w:val="24"/>
        </w:rPr>
        <w:t>semester</w:t>
      </w:r>
      <w:r>
        <w:rPr>
          <w:sz w:val="24"/>
          <w:szCs w:val="24"/>
        </w:rPr>
        <w:t xml:space="preserve">?  </w:t>
      </w:r>
    </w:p>
    <w:p w14:paraId="4786B7D7" w14:textId="34B0D2A0" w:rsidR="003F1AD0" w:rsidRDefault="009E6F2B" w:rsidP="009E6F2B">
      <w:pPr>
        <w:numPr>
          <w:ilvl w:val="2"/>
          <w:numId w:val="2"/>
        </w:numPr>
        <w:rPr>
          <w:sz w:val="24"/>
          <w:szCs w:val="24"/>
        </w:rPr>
      </w:pPr>
      <w:r>
        <w:rPr>
          <w:sz w:val="24"/>
          <w:szCs w:val="24"/>
        </w:rPr>
        <w:t>What</w:t>
      </w:r>
      <w:r w:rsidR="003F1AD0">
        <w:rPr>
          <w:sz w:val="24"/>
          <w:szCs w:val="24"/>
        </w:rPr>
        <w:t>,</w:t>
      </w:r>
      <w:r>
        <w:rPr>
          <w:sz w:val="24"/>
          <w:szCs w:val="24"/>
        </w:rPr>
        <w:t xml:space="preserve"> specifically</w:t>
      </w:r>
      <w:r w:rsidR="003F1AD0">
        <w:rPr>
          <w:sz w:val="24"/>
          <w:szCs w:val="24"/>
        </w:rPr>
        <w:t xml:space="preserve">, will the </w:t>
      </w:r>
      <w:r w:rsidR="00E512A8">
        <w:rPr>
          <w:sz w:val="24"/>
          <w:szCs w:val="24"/>
        </w:rPr>
        <w:t xml:space="preserve">final </w:t>
      </w:r>
      <w:r w:rsidR="003F1AD0">
        <w:rPr>
          <w:sz w:val="24"/>
          <w:szCs w:val="24"/>
        </w:rPr>
        <w:t xml:space="preserve">project help assess about </w:t>
      </w:r>
      <w:r w:rsidR="00E512A8">
        <w:rPr>
          <w:sz w:val="24"/>
          <w:szCs w:val="24"/>
        </w:rPr>
        <w:t>a</w:t>
      </w:r>
      <w:r w:rsidR="003F1AD0">
        <w:rPr>
          <w:sz w:val="24"/>
          <w:szCs w:val="24"/>
        </w:rPr>
        <w:t xml:space="preserve"> student’s grasp of the course material</w:t>
      </w:r>
      <w:r>
        <w:rPr>
          <w:sz w:val="24"/>
          <w:szCs w:val="24"/>
        </w:rPr>
        <w:t xml:space="preserve">?  </w:t>
      </w:r>
    </w:p>
    <w:p w14:paraId="2BEC6372" w14:textId="1F4DFBB8" w:rsidR="004E37ED" w:rsidRDefault="009E6F2B" w:rsidP="009E6F2B">
      <w:pPr>
        <w:numPr>
          <w:ilvl w:val="2"/>
          <w:numId w:val="2"/>
        </w:numPr>
        <w:rPr>
          <w:sz w:val="24"/>
          <w:szCs w:val="24"/>
        </w:rPr>
      </w:pPr>
      <w:r>
        <w:rPr>
          <w:sz w:val="24"/>
          <w:szCs w:val="24"/>
        </w:rPr>
        <w:t xml:space="preserve">How </w:t>
      </w:r>
      <w:r w:rsidR="003F1AD0">
        <w:rPr>
          <w:sz w:val="24"/>
          <w:szCs w:val="24"/>
        </w:rPr>
        <w:t xml:space="preserve">is this final project integrated with </w:t>
      </w:r>
      <w:r w:rsidR="009668D2">
        <w:rPr>
          <w:sz w:val="24"/>
          <w:szCs w:val="24"/>
        </w:rPr>
        <w:t xml:space="preserve">any </w:t>
      </w:r>
      <w:r w:rsidR="003F1AD0">
        <w:rPr>
          <w:sz w:val="24"/>
          <w:szCs w:val="24"/>
        </w:rPr>
        <w:t>other assignments and/or aspects of the course?</w:t>
      </w:r>
    </w:p>
    <w:p w14:paraId="7D0CC280" w14:textId="722CA612" w:rsidR="004E37ED" w:rsidRDefault="00376CE1" w:rsidP="004E37ED">
      <w:pPr>
        <w:numPr>
          <w:ilvl w:val="1"/>
          <w:numId w:val="2"/>
        </w:numPr>
        <w:rPr>
          <w:sz w:val="24"/>
          <w:szCs w:val="24"/>
        </w:rPr>
      </w:pPr>
      <w:r>
        <w:rPr>
          <w:sz w:val="24"/>
          <w:szCs w:val="24"/>
        </w:rPr>
        <w:t>Also, the Panel would like clarification on how any and</w:t>
      </w:r>
      <w:r w:rsidR="002751E7">
        <w:rPr>
          <w:sz w:val="24"/>
          <w:szCs w:val="24"/>
        </w:rPr>
        <w:t>/or</w:t>
      </w:r>
      <w:r>
        <w:rPr>
          <w:sz w:val="24"/>
          <w:szCs w:val="24"/>
        </w:rPr>
        <w:t xml:space="preserve"> all assignments will be impacted by </w:t>
      </w:r>
      <w:r w:rsidR="004E37ED">
        <w:rPr>
          <w:sz w:val="24"/>
          <w:szCs w:val="24"/>
        </w:rPr>
        <w:t>the fact that the course is being adjusted</w:t>
      </w:r>
      <w:r w:rsidR="002751E7">
        <w:rPr>
          <w:sz w:val="24"/>
          <w:szCs w:val="24"/>
        </w:rPr>
        <w:t xml:space="preserve"> from a 6000-level to a </w:t>
      </w:r>
      <w:r w:rsidR="002751E7">
        <w:rPr>
          <w:sz w:val="24"/>
          <w:szCs w:val="24"/>
        </w:rPr>
        <w:lastRenderedPageBreak/>
        <w:t>5000-level</w:t>
      </w:r>
      <w:r w:rsidR="00672AB6">
        <w:rPr>
          <w:sz w:val="24"/>
          <w:szCs w:val="24"/>
        </w:rPr>
        <w:t xml:space="preserve"> </w:t>
      </w:r>
      <w:r w:rsidR="006059DF">
        <w:rPr>
          <w:sz w:val="24"/>
          <w:szCs w:val="24"/>
        </w:rPr>
        <w:t>with an eye toward including</w:t>
      </w:r>
      <w:r w:rsidR="002751E7">
        <w:rPr>
          <w:sz w:val="24"/>
          <w:szCs w:val="24"/>
        </w:rPr>
        <w:t xml:space="preserve"> prospective</w:t>
      </w:r>
      <w:r w:rsidR="004E37ED">
        <w:rPr>
          <w:sz w:val="24"/>
          <w:szCs w:val="24"/>
        </w:rPr>
        <w:t xml:space="preserve"> upper-level undergraduates</w:t>
      </w:r>
      <w:r>
        <w:rPr>
          <w:sz w:val="24"/>
          <w:szCs w:val="24"/>
        </w:rPr>
        <w:t>,</w:t>
      </w:r>
      <w:r w:rsidR="004E37ED">
        <w:rPr>
          <w:sz w:val="24"/>
          <w:szCs w:val="24"/>
        </w:rPr>
        <w:t xml:space="preserve"> who are </w:t>
      </w:r>
      <w:r w:rsidR="002751E7">
        <w:rPr>
          <w:sz w:val="24"/>
          <w:szCs w:val="24"/>
        </w:rPr>
        <w:t xml:space="preserve">however </w:t>
      </w:r>
      <w:r w:rsidR="004E37ED">
        <w:rPr>
          <w:sz w:val="24"/>
          <w:szCs w:val="24"/>
        </w:rPr>
        <w:t xml:space="preserve">perhaps less familiar with </w:t>
      </w:r>
      <w:r w:rsidR="002751E7">
        <w:rPr>
          <w:sz w:val="24"/>
          <w:szCs w:val="24"/>
        </w:rPr>
        <w:t xml:space="preserve">certain specialized, discipline-specific </w:t>
      </w:r>
      <w:r w:rsidR="004E37ED">
        <w:rPr>
          <w:sz w:val="24"/>
          <w:szCs w:val="24"/>
        </w:rPr>
        <w:t xml:space="preserve">aspects of </w:t>
      </w:r>
      <w:r w:rsidR="002751E7">
        <w:rPr>
          <w:sz w:val="24"/>
          <w:szCs w:val="24"/>
        </w:rPr>
        <w:t>the</w:t>
      </w:r>
      <w:r w:rsidR="004E37ED">
        <w:rPr>
          <w:sz w:val="24"/>
          <w:szCs w:val="24"/>
        </w:rPr>
        <w:t xml:space="preserve"> class than their graduate student colleagues</w:t>
      </w:r>
      <w:r w:rsidR="002751E7">
        <w:rPr>
          <w:sz w:val="24"/>
          <w:szCs w:val="24"/>
        </w:rPr>
        <w:t>.</w:t>
      </w:r>
    </w:p>
    <w:p w14:paraId="05158F0C" w14:textId="6192C50E" w:rsidR="00BE27CF" w:rsidRPr="00625594" w:rsidRDefault="00625594" w:rsidP="004E37ED">
      <w:pPr>
        <w:numPr>
          <w:ilvl w:val="1"/>
          <w:numId w:val="2"/>
        </w:numPr>
        <w:rPr>
          <w:b/>
          <w:bCs/>
          <w:sz w:val="24"/>
          <w:szCs w:val="24"/>
        </w:rPr>
      </w:pPr>
      <w:r>
        <w:rPr>
          <w:sz w:val="24"/>
          <w:szCs w:val="24"/>
        </w:rPr>
        <w:t>The Pa</w:t>
      </w:r>
      <w:r w:rsidRPr="000A5AD2">
        <w:rPr>
          <w:sz w:val="24"/>
          <w:szCs w:val="24"/>
        </w:rPr>
        <w:t xml:space="preserve">nel recommends expanding on the particular technology </w:t>
      </w:r>
      <w:r w:rsidR="000427E3" w:rsidRPr="000A5AD2">
        <w:rPr>
          <w:sz w:val="24"/>
          <w:szCs w:val="24"/>
        </w:rPr>
        <w:t>requirements</w:t>
      </w:r>
      <w:r w:rsidRPr="000A5AD2">
        <w:rPr>
          <w:sz w:val="24"/>
          <w:szCs w:val="24"/>
        </w:rPr>
        <w:t xml:space="preserve"> students</w:t>
      </w:r>
      <w:r w:rsidR="000427E3" w:rsidRPr="000A5AD2">
        <w:rPr>
          <w:sz w:val="24"/>
          <w:szCs w:val="24"/>
        </w:rPr>
        <w:t xml:space="preserve"> should anticipate</w:t>
      </w:r>
      <w:r w:rsidRPr="000A5AD2">
        <w:rPr>
          <w:sz w:val="24"/>
          <w:szCs w:val="24"/>
        </w:rPr>
        <w:t xml:space="preserve"> </w:t>
      </w:r>
      <w:r w:rsidR="00212E9B" w:rsidRPr="000A5AD2">
        <w:rPr>
          <w:sz w:val="24"/>
          <w:szCs w:val="24"/>
        </w:rPr>
        <w:t>being able</w:t>
      </w:r>
      <w:r w:rsidR="000427E3" w:rsidRPr="000A5AD2">
        <w:rPr>
          <w:sz w:val="24"/>
          <w:szCs w:val="24"/>
        </w:rPr>
        <w:t xml:space="preserve"> to access for</w:t>
      </w:r>
      <w:r w:rsidRPr="000A5AD2">
        <w:rPr>
          <w:sz w:val="24"/>
          <w:szCs w:val="24"/>
        </w:rPr>
        <w:t xml:space="preserve"> the course.  For instance, t</w:t>
      </w:r>
      <w:r w:rsidR="00BE27CF" w:rsidRPr="000A5AD2">
        <w:rPr>
          <w:sz w:val="24"/>
          <w:szCs w:val="24"/>
        </w:rPr>
        <w:t>echnology requirements</w:t>
      </w:r>
      <w:r w:rsidR="000A5AD2" w:rsidRPr="000A5AD2">
        <w:rPr>
          <w:sz w:val="24"/>
          <w:szCs w:val="24"/>
        </w:rPr>
        <w:t xml:space="preserve"> section (found on page</w:t>
      </w:r>
      <w:r w:rsidR="00D07263">
        <w:rPr>
          <w:sz w:val="24"/>
          <w:szCs w:val="24"/>
        </w:rPr>
        <w:t>s</w:t>
      </w:r>
      <w:r w:rsidR="000A5AD2" w:rsidRPr="000A5AD2">
        <w:rPr>
          <w:sz w:val="24"/>
          <w:szCs w:val="24"/>
        </w:rPr>
        <w:t xml:space="preserve"> </w:t>
      </w:r>
      <w:r w:rsidR="00D07263">
        <w:rPr>
          <w:sz w:val="24"/>
          <w:szCs w:val="24"/>
        </w:rPr>
        <w:t>4-</w:t>
      </w:r>
      <w:r w:rsidR="000A5AD2" w:rsidRPr="000A5AD2">
        <w:rPr>
          <w:sz w:val="24"/>
          <w:szCs w:val="24"/>
        </w:rPr>
        <w:t xml:space="preserve">5 of the syllabus) </w:t>
      </w:r>
      <w:r w:rsidR="00BE27CF" w:rsidRPr="000A5AD2">
        <w:rPr>
          <w:sz w:val="24"/>
          <w:szCs w:val="24"/>
        </w:rPr>
        <w:t xml:space="preserve">should </w:t>
      </w:r>
      <w:r w:rsidR="000A5AD2" w:rsidRPr="000A5AD2">
        <w:rPr>
          <w:sz w:val="24"/>
          <w:szCs w:val="24"/>
        </w:rPr>
        <w:t xml:space="preserve">also </w:t>
      </w:r>
      <w:r w:rsidR="00BE27CF" w:rsidRPr="000A5AD2">
        <w:rPr>
          <w:sz w:val="24"/>
          <w:szCs w:val="24"/>
        </w:rPr>
        <w:t xml:space="preserve">include </w:t>
      </w:r>
      <w:r w:rsidR="000A5AD2" w:rsidRPr="000A5AD2">
        <w:rPr>
          <w:sz w:val="24"/>
          <w:szCs w:val="24"/>
        </w:rPr>
        <w:t>language specifying</w:t>
      </w:r>
      <w:r w:rsidR="00555258" w:rsidRPr="000A5AD2">
        <w:rPr>
          <w:sz w:val="24"/>
          <w:szCs w:val="24"/>
        </w:rPr>
        <w:t xml:space="preserve"> what devices are permitted for in- and out-of-class work</w:t>
      </w:r>
      <w:r w:rsidR="00423ABD" w:rsidRPr="000A5AD2">
        <w:rPr>
          <w:sz w:val="24"/>
          <w:szCs w:val="24"/>
        </w:rPr>
        <w:t xml:space="preserve">; state requirements for </w:t>
      </w:r>
      <w:r w:rsidR="000A5AD2" w:rsidRPr="000A5AD2">
        <w:rPr>
          <w:sz w:val="24"/>
          <w:szCs w:val="24"/>
        </w:rPr>
        <w:t xml:space="preserve">certain </w:t>
      </w:r>
      <w:r w:rsidR="00423ABD" w:rsidRPr="000A5AD2">
        <w:rPr>
          <w:sz w:val="24"/>
          <w:szCs w:val="24"/>
        </w:rPr>
        <w:t xml:space="preserve">devices in this course also includes what specific programs require certain </w:t>
      </w:r>
      <w:r w:rsidR="000A5AD2" w:rsidRPr="000A5AD2">
        <w:rPr>
          <w:sz w:val="24"/>
          <w:szCs w:val="24"/>
        </w:rPr>
        <w:t xml:space="preserve">types of </w:t>
      </w:r>
      <w:r w:rsidR="00423ABD" w:rsidRPr="000A5AD2">
        <w:rPr>
          <w:sz w:val="24"/>
          <w:szCs w:val="24"/>
        </w:rPr>
        <w:t>computers,</w:t>
      </w:r>
      <w:r w:rsidR="000A5AD2" w:rsidRPr="000A5AD2">
        <w:rPr>
          <w:sz w:val="24"/>
          <w:szCs w:val="24"/>
        </w:rPr>
        <w:t xml:space="preserve"> specialized</w:t>
      </w:r>
      <w:r w:rsidR="00423ABD" w:rsidRPr="000A5AD2">
        <w:rPr>
          <w:sz w:val="24"/>
          <w:szCs w:val="24"/>
        </w:rPr>
        <w:t xml:space="preserve"> logins</w:t>
      </w:r>
      <w:r w:rsidR="000A5AD2" w:rsidRPr="000A5AD2">
        <w:rPr>
          <w:sz w:val="24"/>
          <w:szCs w:val="24"/>
        </w:rPr>
        <w:t xml:space="preserve"> (e.g.</w:t>
      </w:r>
      <w:r w:rsidR="008851B2">
        <w:rPr>
          <w:sz w:val="24"/>
          <w:szCs w:val="24"/>
        </w:rPr>
        <w:t>,</w:t>
      </w:r>
      <w:r w:rsidR="000A5AD2" w:rsidRPr="000A5AD2">
        <w:rPr>
          <w:sz w:val="24"/>
          <w:szCs w:val="24"/>
        </w:rPr>
        <w:t xml:space="preserve"> dual authentication)</w:t>
      </w:r>
      <w:r w:rsidR="00423ABD" w:rsidRPr="000A5AD2">
        <w:rPr>
          <w:sz w:val="24"/>
          <w:szCs w:val="24"/>
        </w:rPr>
        <w:t>, etc.</w:t>
      </w:r>
    </w:p>
    <w:p w14:paraId="3EDB2581" w14:textId="1A2DDB25" w:rsidR="00555258" w:rsidRDefault="006059DF" w:rsidP="00555258">
      <w:pPr>
        <w:numPr>
          <w:ilvl w:val="1"/>
          <w:numId w:val="2"/>
        </w:numPr>
        <w:rPr>
          <w:sz w:val="24"/>
          <w:szCs w:val="24"/>
        </w:rPr>
      </w:pPr>
      <w:r>
        <w:rPr>
          <w:sz w:val="24"/>
          <w:szCs w:val="24"/>
        </w:rPr>
        <w:t xml:space="preserve">The Panel suggests </w:t>
      </w:r>
      <w:r w:rsidR="002D38D4">
        <w:rPr>
          <w:sz w:val="24"/>
          <w:szCs w:val="24"/>
        </w:rPr>
        <w:t>including more concrete, fleshed-out</w:t>
      </w:r>
      <w:r>
        <w:rPr>
          <w:sz w:val="24"/>
          <w:szCs w:val="24"/>
        </w:rPr>
        <w:t xml:space="preserve"> </w:t>
      </w:r>
      <w:r w:rsidR="002D38D4">
        <w:rPr>
          <w:sz w:val="24"/>
          <w:szCs w:val="24"/>
        </w:rPr>
        <w:t>class policies for late and/or missing work, affording students a firmer grasp over this critical aspect of how their grade is calculated in this course.</w:t>
      </w:r>
    </w:p>
    <w:p w14:paraId="7AB1C072" w14:textId="4B0C0E12" w:rsidR="00130EDE" w:rsidRPr="00130EDE" w:rsidRDefault="00130EDE" w:rsidP="00130EDE">
      <w:pPr>
        <w:numPr>
          <w:ilvl w:val="1"/>
          <w:numId w:val="2"/>
        </w:numPr>
        <w:rPr>
          <w:sz w:val="24"/>
          <w:szCs w:val="24"/>
        </w:rPr>
      </w:pPr>
      <w:r>
        <w:rPr>
          <w:sz w:val="24"/>
          <w:szCs w:val="24"/>
        </w:rPr>
        <w:t>With an eye to similar concerns, the Panel recommends including further clarifying information about the absence policies and procedures for the course.  In particular, the Panel is concerned about the ambiguous relationship between the stated 0% attendance component and the 30% in-class worksheet component.  For instance, even if a student reaches out in advance about an absence, would they not still lose the opportunity/points to complete the in-class worksheets on the day of their anticipated absence?  These two components of the final grade seem inextricably connected as currently outlined in the syllabus.</w:t>
      </w:r>
    </w:p>
    <w:p w14:paraId="38770A9B" w14:textId="457A9ED2" w:rsidR="00007D33" w:rsidRDefault="00856872" w:rsidP="00BF42EE">
      <w:pPr>
        <w:numPr>
          <w:ilvl w:val="1"/>
          <w:numId w:val="2"/>
        </w:numPr>
        <w:rPr>
          <w:sz w:val="24"/>
          <w:szCs w:val="24"/>
        </w:rPr>
      </w:pPr>
      <w:r>
        <w:rPr>
          <w:sz w:val="24"/>
          <w:szCs w:val="24"/>
        </w:rPr>
        <w:t>As the Panel understands the present grading structure of the course</w:t>
      </w:r>
      <w:r w:rsidR="00130EDE">
        <w:rPr>
          <w:sz w:val="24"/>
          <w:szCs w:val="24"/>
        </w:rPr>
        <w:t xml:space="preserve"> — which </w:t>
      </w:r>
      <w:r w:rsidR="00BF2A0E">
        <w:rPr>
          <w:sz w:val="24"/>
          <w:szCs w:val="24"/>
        </w:rPr>
        <w:t xml:space="preserve">members </w:t>
      </w:r>
      <w:r w:rsidR="00AB4F93">
        <w:rPr>
          <w:sz w:val="24"/>
          <w:szCs w:val="24"/>
        </w:rPr>
        <w:t>recognize</w:t>
      </w:r>
      <w:r w:rsidR="00BF2A0E">
        <w:rPr>
          <w:sz w:val="24"/>
          <w:szCs w:val="24"/>
        </w:rPr>
        <w:t xml:space="preserve"> </w:t>
      </w:r>
      <w:r w:rsidR="00130EDE">
        <w:rPr>
          <w:sz w:val="24"/>
          <w:szCs w:val="24"/>
        </w:rPr>
        <w:t>was originally conceived with only graduate students in mind</w:t>
      </w:r>
      <w:r w:rsidR="005D7E35">
        <w:rPr>
          <w:sz w:val="24"/>
          <w:szCs w:val="24"/>
        </w:rPr>
        <w:t>, when it was previously numbered at the 6000-level and thus exclusive to graduate students —</w:t>
      </w:r>
      <w:r w:rsidR="00130EDE">
        <w:rPr>
          <w:sz w:val="24"/>
          <w:szCs w:val="24"/>
        </w:rPr>
        <w:t xml:space="preserve"> </w:t>
      </w:r>
      <w:r>
        <w:rPr>
          <w:sz w:val="24"/>
          <w:szCs w:val="24"/>
        </w:rPr>
        <w:t xml:space="preserve">it appears </w:t>
      </w:r>
      <w:r w:rsidR="00582E50">
        <w:rPr>
          <w:sz w:val="24"/>
          <w:szCs w:val="24"/>
        </w:rPr>
        <w:t xml:space="preserve">that an undergraduate student could, in effect, do the absolute bare minimum required for each assignment, and yet still end up with some kind of a B in the class at minimum.  </w:t>
      </w:r>
      <w:r w:rsidR="005D7E35">
        <w:rPr>
          <w:sz w:val="24"/>
          <w:szCs w:val="24"/>
        </w:rPr>
        <w:t xml:space="preserve">There are </w:t>
      </w:r>
      <w:r w:rsidR="00FC262B">
        <w:rPr>
          <w:sz w:val="24"/>
          <w:szCs w:val="24"/>
        </w:rPr>
        <w:t>many possible solutions</w:t>
      </w:r>
      <w:r w:rsidR="005D7E35">
        <w:rPr>
          <w:sz w:val="24"/>
          <w:szCs w:val="24"/>
        </w:rPr>
        <w:t xml:space="preserve"> to address this issue of course rigor and grading in a class that enrolls both undergraduate and graduate students.  One </w:t>
      </w:r>
      <w:r w:rsidR="00137F69">
        <w:rPr>
          <w:sz w:val="24"/>
          <w:szCs w:val="24"/>
        </w:rPr>
        <w:t>option</w:t>
      </w:r>
      <w:r w:rsidR="005D7E35">
        <w:rPr>
          <w:sz w:val="24"/>
          <w:szCs w:val="24"/>
        </w:rPr>
        <w:t xml:space="preserve"> </w:t>
      </w:r>
      <w:r w:rsidR="00137F69">
        <w:rPr>
          <w:sz w:val="24"/>
          <w:szCs w:val="24"/>
        </w:rPr>
        <w:t xml:space="preserve">the Panel recommends </w:t>
      </w:r>
      <w:r w:rsidR="00007D33">
        <w:rPr>
          <w:sz w:val="24"/>
          <w:szCs w:val="24"/>
        </w:rPr>
        <w:t xml:space="preserve">would be to </w:t>
      </w:r>
      <w:r w:rsidR="005D7E35">
        <w:rPr>
          <w:sz w:val="24"/>
          <w:szCs w:val="24"/>
        </w:rPr>
        <w:t xml:space="preserve">create </w:t>
      </w:r>
      <w:r w:rsidR="00007D33">
        <w:rPr>
          <w:sz w:val="24"/>
          <w:szCs w:val="24"/>
        </w:rPr>
        <w:t>separate grading scale</w:t>
      </w:r>
      <w:r w:rsidR="00C72C6D">
        <w:rPr>
          <w:sz w:val="24"/>
          <w:szCs w:val="24"/>
        </w:rPr>
        <w:t>s</w:t>
      </w:r>
      <w:r w:rsidR="00007D33">
        <w:rPr>
          <w:sz w:val="24"/>
          <w:szCs w:val="24"/>
        </w:rPr>
        <w:t xml:space="preserve"> for undergraduate </w:t>
      </w:r>
      <w:r w:rsidR="005D7E35">
        <w:rPr>
          <w:sz w:val="24"/>
          <w:szCs w:val="24"/>
        </w:rPr>
        <w:t>vs.</w:t>
      </w:r>
      <w:r w:rsidR="00007D33">
        <w:rPr>
          <w:sz w:val="24"/>
          <w:szCs w:val="24"/>
        </w:rPr>
        <w:t xml:space="preserve"> graduate students</w:t>
      </w:r>
      <w:r w:rsidR="005D7E35">
        <w:rPr>
          <w:sz w:val="24"/>
          <w:szCs w:val="24"/>
        </w:rPr>
        <w:t xml:space="preserve">, </w:t>
      </w:r>
      <w:r w:rsidR="00007D33">
        <w:rPr>
          <w:sz w:val="24"/>
          <w:szCs w:val="24"/>
        </w:rPr>
        <w:t>along with statement</w:t>
      </w:r>
      <w:r w:rsidR="00A11BCD">
        <w:rPr>
          <w:sz w:val="24"/>
          <w:szCs w:val="24"/>
        </w:rPr>
        <w:t>s</w:t>
      </w:r>
      <w:r w:rsidR="00007D33">
        <w:rPr>
          <w:sz w:val="24"/>
          <w:szCs w:val="24"/>
        </w:rPr>
        <w:t xml:space="preserve"> indicating </w:t>
      </w:r>
      <w:r w:rsidR="00C72C6D">
        <w:rPr>
          <w:sz w:val="24"/>
          <w:szCs w:val="24"/>
        </w:rPr>
        <w:t xml:space="preserve">the </w:t>
      </w:r>
      <w:r w:rsidR="00007D33">
        <w:rPr>
          <w:sz w:val="24"/>
          <w:szCs w:val="24"/>
        </w:rPr>
        <w:t xml:space="preserve">overall expectations for </w:t>
      </w:r>
      <w:r w:rsidR="00C72C6D">
        <w:rPr>
          <w:sz w:val="24"/>
          <w:szCs w:val="24"/>
        </w:rPr>
        <w:t>each group</w:t>
      </w:r>
      <w:r w:rsidR="00CA6CA1">
        <w:rPr>
          <w:sz w:val="24"/>
          <w:szCs w:val="24"/>
        </w:rPr>
        <w:t>.</w:t>
      </w:r>
    </w:p>
    <w:p w14:paraId="09D75FCC" w14:textId="4D71C503" w:rsidR="00F02678" w:rsidRPr="00C763B8" w:rsidRDefault="00F02678" w:rsidP="00C763B8">
      <w:pPr>
        <w:pStyle w:val="ListParagraph"/>
        <w:numPr>
          <w:ilvl w:val="1"/>
          <w:numId w:val="2"/>
        </w:numPr>
        <w:rPr>
          <w:sz w:val="24"/>
          <w:szCs w:val="24"/>
        </w:rPr>
      </w:pPr>
      <w:r w:rsidRPr="00F02678">
        <w:rPr>
          <w:sz w:val="24"/>
          <w:szCs w:val="24"/>
        </w:rPr>
        <w:t xml:space="preserve">The </w:t>
      </w:r>
      <w:r>
        <w:rPr>
          <w:sz w:val="24"/>
          <w:szCs w:val="24"/>
        </w:rPr>
        <w:t>Panel asks</w:t>
      </w:r>
      <w:r w:rsidRPr="00F02678">
        <w:rPr>
          <w:sz w:val="24"/>
          <w:szCs w:val="24"/>
        </w:rPr>
        <w:t xml:space="preserve"> that the syllabus feature the </w:t>
      </w:r>
      <w:r>
        <w:rPr>
          <w:sz w:val="24"/>
          <w:szCs w:val="24"/>
        </w:rPr>
        <w:t xml:space="preserve">most </w:t>
      </w:r>
      <w:r w:rsidRPr="00F02678">
        <w:rPr>
          <w:sz w:val="24"/>
          <w:szCs w:val="24"/>
        </w:rPr>
        <w:t xml:space="preserve">current </w:t>
      </w:r>
      <w:r>
        <w:rPr>
          <w:sz w:val="24"/>
          <w:szCs w:val="24"/>
        </w:rPr>
        <w:t xml:space="preserve">Student Life Disability Services (SLDS) </w:t>
      </w:r>
      <w:r w:rsidRPr="00F02678">
        <w:rPr>
          <w:sz w:val="24"/>
          <w:szCs w:val="24"/>
        </w:rPr>
        <w:t>statement, available here:</w:t>
      </w:r>
      <w:r w:rsidR="005C562E">
        <w:rPr>
          <w:sz w:val="24"/>
          <w:szCs w:val="24"/>
        </w:rPr>
        <w:t xml:space="preserve">  </w:t>
      </w:r>
      <w:hyperlink r:id="rId5" w:history="1">
        <w:r w:rsidR="002F3A2A" w:rsidRPr="00696F43">
          <w:rPr>
            <w:rStyle w:val="Hyperlink"/>
            <w:sz w:val="24"/>
            <w:szCs w:val="24"/>
          </w:rPr>
          <w:t>https://asccas.osu.edu/curriculum/syllabus-elements</w:t>
        </w:r>
      </w:hyperlink>
      <w:r>
        <w:rPr>
          <w:sz w:val="24"/>
          <w:szCs w:val="24"/>
        </w:rPr>
        <w:t xml:space="preserve"> </w:t>
      </w:r>
      <w:r w:rsidRPr="00F02678">
        <w:rPr>
          <w:sz w:val="24"/>
          <w:szCs w:val="24"/>
        </w:rPr>
        <w:t xml:space="preserve"> </w:t>
      </w:r>
    </w:p>
    <w:p w14:paraId="098ACE7A" w14:textId="3867B60D" w:rsidR="00A234FC" w:rsidRDefault="00D3658B" w:rsidP="00BF42EE">
      <w:pPr>
        <w:numPr>
          <w:ilvl w:val="1"/>
          <w:numId w:val="2"/>
        </w:numPr>
        <w:rPr>
          <w:sz w:val="24"/>
          <w:szCs w:val="24"/>
        </w:rPr>
      </w:pPr>
      <w:r>
        <w:rPr>
          <w:b/>
          <w:bCs/>
          <w:sz w:val="24"/>
          <w:szCs w:val="24"/>
        </w:rPr>
        <w:t>No Vote</w:t>
      </w:r>
    </w:p>
    <w:p w14:paraId="29E1D3F9" w14:textId="50750A29" w:rsidR="005732D1" w:rsidRPr="00F053AC" w:rsidRDefault="005732D1" w:rsidP="005732D1">
      <w:pPr>
        <w:numPr>
          <w:ilvl w:val="0"/>
          <w:numId w:val="2"/>
        </w:numPr>
        <w:rPr>
          <w:sz w:val="24"/>
          <w:szCs w:val="24"/>
        </w:rPr>
      </w:pPr>
      <w:r w:rsidRPr="005732D1">
        <w:rPr>
          <w:sz w:val="24"/>
          <w:szCs w:val="24"/>
        </w:rPr>
        <w:lastRenderedPageBreak/>
        <w:t>Physics 1270 (existing course requesting GEN Foundation: Natural Sciences)</w:t>
      </w:r>
    </w:p>
    <w:p w14:paraId="301E7D7E" w14:textId="744AA0AB" w:rsidR="00C52D68" w:rsidRDefault="003F29BB" w:rsidP="00E765D6">
      <w:pPr>
        <w:numPr>
          <w:ilvl w:val="1"/>
          <w:numId w:val="2"/>
        </w:numPr>
        <w:rPr>
          <w:sz w:val="24"/>
          <w:szCs w:val="24"/>
        </w:rPr>
      </w:pPr>
      <w:r w:rsidRPr="00C52D68">
        <w:rPr>
          <w:b/>
          <w:bCs/>
          <w:sz w:val="24"/>
          <w:szCs w:val="24"/>
        </w:rPr>
        <w:t xml:space="preserve">The Panel requests that the full and complete Goals and ELOs for the GEN Foundation: Natural Sciences category </w:t>
      </w:r>
      <w:r w:rsidR="00306296" w:rsidRPr="00C52D68">
        <w:rPr>
          <w:b/>
          <w:bCs/>
          <w:sz w:val="24"/>
          <w:szCs w:val="24"/>
        </w:rPr>
        <w:t xml:space="preserve">— </w:t>
      </w:r>
      <w:r w:rsidR="00306296" w:rsidRPr="00C52D68">
        <w:rPr>
          <w:rFonts w:eastAsia="Times New Roman"/>
          <w:b/>
          <w:bCs/>
          <w:sz w:val="24"/>
          <w:szCs w:val="24"/>
        </w:rPr>
        <w:t xml:space="preserve">as well as an explanatory paragraph outlining how the class intends to meet </w:t>
      </w:r>
      <w:r w:rsidR="00C52D68" w:rsidRPr="00C52D68">
        <w:rPr>
          <w:rFonts w:eastAsia="Times New Roman"/>
          <w:b/>
          <w:bCs/>
          <w:sz w:val="24"/>
          <w:szCs w:val="24"/>
        </w:rPr>
        <w:t>these particular</w:t>
      </w:r>
      <w:r w:rsidR="00306296" w:rsidRPr="00C52D68">
        <w:rPr>
          <w:rFonts w:eastAsia="Times New Roman"/>
          <w:b/>
          <w:bCs/>
          <w:sz w:val="24"/>
          <w:szCs w:val="24"/>
        </w:rPr>
        <w:t xml:space="preserve"> Goals/ELOs </w:t>
      </w:r>
      <w:r w:rsidR="00C52D68" w:rsidRPr="00C52D68">
        <w:rPr>
          <w:rFonts w:eastAsia="Times New Roman"/>
          <w:b/>
          <w:bCs/>
          <w:sz w:val="24"/>
          <w:szCs w:val="24"/>
        </w:rPr>
        <w:t xml:space="preserve">— </w:t>
      </w:r>
      <w:r w:rsidRPr="00C52D68">
        <w:rPr>
          <w:b/>
          <w:bCs/>
          <w:sz w:val="24"/>
          <w:szCs w:val="24"/>
        </w:rPr>
        <w:t xml:space="preserve">appear </w:t>
      </w:r>
      <w:r w:rsidR="00C52D68" w:rsidRPr="00C52D68">
        <w:rPr>
          <w:b/>
          <w:bCs/>
          <w:sz w:val="24"/>
          <w:szCs w:val="24"/>
        </w:rPr>
        <w:t xml:space="preserve">in their own separate section </w:t>
      </w:r>
      <w:r w:rsidRPr="00C52D68">
        <w:rPr>
          <w:b/>
          <w:bCs/>
          <w:sz w:val="24"/>
          <w:szCs w:val="24"/>
        </w:rPr>
        <w:t xml:space="preserve">on the syllabus, </w:t>
      </w:r>
      <w:r w:rsidR="00306296" w:rsidRPr="00C52D68">
        <w:rPr>
          <w:b/>
          <w:bCs/>
          <w:sz w:val="24"/>
          <w:szCs w:val="24"/>
        </w:rPr>
        <w:t>clearly distinguishable</w:t>
      </w:r>
      <w:r w:rsidRPr="00C52D68">
        <w:rPr>
          <w:b/>
          <w:bCs/>
          <w:sz w:val="24"/>
          <w:szCs w:val="24"/>
        </w:rPr>
        <w:t xml:space="preserve"> from the specific Learning Outcomes </w:t>
      </w:r>
      <w:r w:rsidR="00C52D68" w:rsidRPr="00C52D68">
        <w:rPr>
          <w:b/>
          <w:bCs/>
          <w:sz w:val="24"/>
          <w:szCs w:val="24"/>
        </w:rPr>
        <w:t xml:space="preserve">listed </w:t>
      </w:r>
      <w:r w:rsidRPr="00C52D68">
        <w:rPr>
          <w:b/>
          <w:bCs/>
          <w:sz w:val="24"/>
          <w:szCs w:val="24"/>
        </w:rPr>
        <w:t xml:space="preserve">for the </w:t>
      </w:r>
      <w:r w:rsidR="00F878CA">
        <w:rPr>
          <w:b/>
          <w:bCs/>
          <w:sz w:val="24"/>
          <w:szCs w:val="24"/>
        </w:rPr>
        <w:t>course as a course</w:t>
      </w:r>
      <w:r w:rsidR="00306296" w:rsidRPr="00C52D68">
        <w:rPr>
          <w:b/>
          <w:bCs/>
          <w:sz w:val="24"/>
          <w:szCs w:val="24"/>
        </w:rPr>
        <w:t xml:space="preserve">.  </w:t>
      </w:r>
      <w:r w:rsidR="00FA24B2">
        <w:rPr>
          <w:rFonts w:eastAsia="Times New Roman" w:cstheme="minorHAnsi"/>
          <w:b/>
          <w:bCs/>
          <w:sz w:val="24"/>
          <w:szCs w:val="24"/>
        </w:rPr>
        <w:t xml:space="preserve">The GEN Goals and ELOs can be found here </w:t>
      </w:r>
      <w:r w:rsidR="00FA24B2">
        <w:rPr>
          <w:rFonts w:cstheme="minorHAnsi"/>
          <w:b/>
          <w:bCs/>
          <w:sz w:val="24"/>
          <w:szCs w:val="24"/>
        </w:rPr>
        <w:t>on the ASC Curriculum and Assessment Services website</w:t>
      </w:r>
      <w:r w:rsidR="00C52D68">
        <w:rPr>
          <w:rFonts w:eastAsia="Times New Roman"/>
          <w:b/>
          <w:bCs/>
          <w:sz w:val="24"/>
          <w:szCs w:val="24"/>
        </w:rPr>
        <w:t xml:space="preserve">: </w:t>
      </w:r>
      <w:r w:rsidR="00FA24B2">
        <w:rPr>
          <w:rFonts w:eastAsia="Times New Roman"/>
          <w:b/>
          <w:bCs/>
          <w:sz w:val="24"/>
          <w:szCs w:val="24"/>
        </w:rPr>
        <w:t xml:space="preserve"> </w:t>
      </w:r>
      <w:hyperlink r:id="rId6" w:history="1">
        <w:r w:rsidR="000427E3" w:rsidRPr="00696F43">
          <w:rPr>
            <w:rStyle w:val="Hyperlink"/>
            <w:rFonts w:eastAsia="Times New Roman"/>
            <w:b/>
            <w:bCs/>
            <w:sz w:val="24"/>
            <w:szCs w:val="24"/>
          </w:rPr>
          <w:t>https://asccas.osu.edu/new-general-education-gen-goals-and-elos</w:t>
        </w:r>
      </w:hyperlink>
      <w:r w:rsidR="00C52D68" w:rsidRPr="00C52D68">
        <w:rPr>
          <w:sz w:val="24"/>
          <w:szCs w:val="24"/>
        </w:rPr>
        <w:t xml:space="preserve"> </w:t>
      </w:r>
    </w:p>
    <w:p w14:paraId="591102F3" w14:textId="0EF03499" w:rsidR="009B0F93" w:rsidRPr="00C52D68" w:rsidRDefault="009B0F93" w:rsidP="00E765D6">
      <w:pPr>
        <w:numPr>
          <w:ilvl w:val="1"/>
          <w:numId w:val="2"/>
        </w:numPr>
        <w:rPr>
          <w:sz w:val="24"/>
          <w:szCs w:val="24"/>
        </w:rPr>
      </w:pPr>
      <w:r w:rsidRPr="00C52D68">
        <w:rPr>
          <w:sz w:val="24"/>
          <w:szCs w:val="24"/>
        </w:rPr>
        <w:t xml:space="preserve">Kaizar, Cole; </w:t>
      </w:r>
      <w:r w:rsidRPr="00C52D68">
        <w:rPr>
          <w:b/>
          <w:bCs/>
          <w:sz w:val="24"/>
          <w:szCs w:val="24"/>
        </w:rPr>
        <w:t xml:space="preserve">unanimously approved </w:t>
      </w:r>
      <w:r w:rsidRPr="00C52D68">
        <w:rPr>
          <w:sz w:val="24"/>
          <w:szCs w:val="24"/>
        </w:rPr>
        <w:t xml:space="preserve">with </w:t>
      </w:r>
      <w:r w:rsidR="00A322CE" w:rsidRPr="00C52D68">
        <w:rPr>
          <w:b/>
          <w:bCs/>
          <w:sz w:val="24"/>
          <w:szCs w:val="24"/>
        </w:rPr>
        <w:t>one (1) contingency</w:t>
      </w:r>
      <w:r w:rsidR="00A322CE" w:rsidRPr="00C52D68">
        <w:rPr>
          <w:sz w:val="24"/>
          <w:szCs w:val="24"/>
        </w:rPr>
        <w:t xml:space="preserve"> (in bold above)</w:t>
      </w:r>
    </w:p>
    <w:p w14:paraId="578DC30F" w14:textId="4BA285BC" w:rsidR="005732D1" w:rsidRPr="00F053AC" w:rsidRDefault="005732D1" w:rsidP="005732D1">
      <w:pPr>
        <w:numPr>
          <w:ilvl w:val="0"/>
          <w:numId w:val="2"/>
        </w:numPr>
        <w:rPr>
          <w:sz w:val="24"/>
          <w:szCs w:val="24"/>
        </w:rPr>
      </w:pPr>
      <w:r w:rsidRPr="005732D1">
        <w:rPr>
          <w:sz w:val="24"/>
          <w:szCs w:val="24"/>
        </w:rPr>
        <w:t>Physics 1271 (new course) (return)</w:t>
      </w:r>
    </w:p>
    <w:p w14:paraId="19C8FC21" w14:textId="0A5112E0" w:rsidR="003A588C" w:rsidRDefault="00280FFE" w:rsidP="008D5C25">
      <w:pPr>
        <w:numPr>
          <w:ilvl w:val="1"/>
          <w:numId w:val="2"/>
        </w:numPr>
        <w:rPr>
          <w:sz w:val="24"/>
          <w:szCs w:val="24"/>
        </w:rPr>
      </w:pPr>
      <w:r>
        <w:rPr>
          <w:i/>
          <w:iCs/>
          <w:sz w:val="24"/>
          <w:szCs w:val="24"/>
        </w:rPr>
        <w:t>On page 12 of the syllabus, t</w:t>
      </w:r>
      <w:r w:rsidR="004F7D83">
        <w:rPr>
          <w:i/>
          <w:iCs/>
          <w:sz w:val="24"/>
          <w:szCs w:val="24"/>
        </w:rPr>
        <w:t xml:space="preserve">he Panel </w:t>
      </w:r>
      <w:r w:rsidR="00F702AA">
        <w:rPr>
          <w:i/>
          <w:iCs/>
          <w:sz w:val="24"/>
          <w:szCs w:val="24"/>
        </w:rPr>
        <w:t>recommends</w:t>
      </w:r>
      <w:r w:rsidR="004F7D83">
        <w:rPr>
          <w:i/>
          <w:iCs/>
          <w:sz w:val="24"/>
          <w:szCs w:val="24"/>
        </w:rPr>
        <w:t xml:space="preserve"> enlarging the font </w:t>
      </w:r>
      <w:r w:rsidR="00F702AA">
        <w:rPr>
          <w:i/>
          <w:iCs/>
          <w:sz w:val="24"/>
          <w:szCs w:val="24"/>
        </w:rPr>
        <w:t xml:space="preserve">size </w:t>
      </w:r>
      <w:r w:rsidR="004F7D83">
        <w:rPr>
          <w:i/>
          <w:iCs/>
          <w:sz w:val="24"/>
          <w:szCs w:val="24"/>
        </w:rPr>
        <w:t xml:space="preserve">of the Student Life Disability Services (SLDS) statement to 16 pt., </w:t>
      </w:r>
      <w:r w:rsidR="00F702AA">
        <w:rPr>
          <w:i/>
          <w:iCs/>
          <w:sz w:val="24"/>
          <w:szCs w:val="24"/>
        </w:rPr>
        <w:t xml:space="preserve">which would better ensure students’ accessibility to the information about this resource.  </w:t>
      </w:r>
    </w:p>
    <w:p w14:paraId="3ECA2733" w14:textId="6FA17AB2" w:rsidR="00CC2473" w:rsidRPr="005732D1" w:rsidRDefault="00CC2473" w:rsidP="008D5C25">
      <w:pPr>
        <w:numPr>
          <w:ilvl w:val="1"/>
          <w:numId w:val="2"/>
        </w:numPr>
        <w:rPr>
          <w:sz w:val="24"/>
          <w:szCs w:val="24"/>
        </w:rPr>
      </w:pPr>
      <w:r>
        <w:rPr>
          <w:sz w:val="24"/>
          <w:szCs w:val="24"/>
        </w:rPr>
        <w:t xml:space="preserve">Barker, Cole; </w:t>
      </w:r>
      <w:r>
        <w:rPr>
          <w:b/>
          <w:bCs/>
          <w:sz w:val="24"/>
          <w:szCs w:val="24"/>
        </w:rPr>
        <w:t xml:space="preserve">unanimously approved </w:t>
      </w:r>
      <w:r>
        <w:rPr>
          <w:sz w:val="24"/>
          <w:szCs w:val="24"/>
        </w:rPr>
        <w:t xml:space="preserve">with </w:t>
      </w:r>
      <w:r w:rsidR="006340E0">
        <w:rPr>
          <w:i/>
          <w:iCs/>
          <w:sz w:val="24"/>
          <w:szCs w:val="24"/>
        </w:rPr>
        <w:t>one</w:t>
      </w:r>
      <w:r w:rsidR="00AA3698">
        <w:rPr>
          <w:i/>
          <w:iCs/>
          <w:sz w:val="24"/>
          <w:szCs w:val="24"/>
        </w:rPr>
        <w:t xml:space="preserve"> (</w:t>
      </w:r>
      <w:r w:rsidR="006340E0">
        <w:rPr>
          <w:i/>
          <w:iCs/>
          <w:sz w:val="24"/>
          <w:szCs w:val="24"/>
        </w:rPr>
        <w:t>1</w:t>
      </w:r>
      <w:r w:rsidR="00AA3698">
        <w:rPr>
          <w:i/>
          <w:iCs/>
          <w:sz w:val="24"/>
          <w:szCs w:val="24"/>
        </w:rPr>
        <w:t xml:space="preserve">) recommendation </w:t>
      </w:r>
      <w:r w:rsidR="00AA3698">
        <w:rPr>
          <w:sz w:val="24"/>
          <w:szCs w:val="24"/>
        </w:rPr>
        <w:t xml:space="preserve">(in italics above) </w:t>
      </w:r>
    </w:p>
    <w:p w14:paraId="25CACF63" w14:textId="77777777" w:rsidR="001251D0" w:rsidRPr="00F053AC" w:rsidRDefault="001251D0">
      <w:pPr>
        <w:rPr>
          <w:sz w:val="24"/>
          <w:szCs w:val="24"/>
        </w:rPr>
      </w:pPr>
    </w:p>
    <w:sectPr w:rsidR="001251D0" w:rsidRPr="00F053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BD25F8"/>
    <w:multiLevelType w:val="multilevel"/>
    <w:tmpl w:val="A0B23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CC21D29"/>
    <w:multiLevelType w:val="multilevel"/>
    <w:tmpl w:val="A0D24644"/>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Symbol" w:hAnsi="Symbol" w:hint="default"/>
      </w:rPr>
    </w:lvl>
    <w:lvl w:ilvl="2">
      <w:start w:val="1"/>
      <w:numFmt w:val="bullet"/>
      <w:lvlText w:val="o"/>
      <w:lvlJc w:val="left"/>
      <w:pPr>
        <w:ind w:left="2160" w:hanging="360"/>
      </w:pPr>
      <w:rPr>
        <w:rFonts w:ascii="Courier New" w:hAnsi="Courier New" w:cs="Courier New"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701323505">
    <w:abstractNumId w:val="0"/>
  </w:num>
  <w:num w:numId="2" w16cid:durableId="13163737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2D1"/>
    <w:rsid w:val="00007D33"/>
    <w:rsid w:val="00011493"/>
    <w:rsid w:val="000372CA"/>
    <w:rsid w:val="00041486"/>
    <w:rsid w:val="000427E3"/>
    <w:rsid w:val="000A087B"/>
    <w:rsid w:val="000A5AD2"/>
    <w:rsid w:val="000A7665"/>
    <w:rsid w:val="000E0959"/>
    <w:rsid w:val="001251D0"/>
    <w:rsid w:val="00130EDE"/>
    <w:rsid w:val="00137F69"/>
    <w:rsid w:val="00172384"/>
    <w:rsid w:val="001B2E17"/>
    <w:rsid w:val="00212E9B"/>
    <w:rsid w:val="002751E7"/>
    <w:rsid w:val="00280FFE"/>
    <w:rsid w:val="002B0F93"/>
    <w:rsid w:val="002D38D4"/>
    <w:rsid w:val="002D6475"/>
    <w:rsid w:val="002E3FB3"/>
    <w:rsid w:val="002F3A2A"/>
    <w:rsid w:val="00303C1A"/>
    <w:rsid w:val="00306296"/>
    <w:rsid w:val="00310E27"/>
    <w:rsid w:val="00376CE1"/>
    <w:rsid w:val="003A41B7"/>
    <w:rsid w:val="003A588C"/>
    <w:rsid w:val="003B35D9"/>
    <w:rsid w:val="003F1AD0"/>
    <w:rsid w:val="003F29BB"/>
    <w:rsid w:val="00420AB1"/>
    <w:rsid w:val="00423ABD"/>
    <w:rsid w:val="004300CE"/>
    <w:rsid w:val="0044623D"/>
    <w:rsid w:val="004740A3"/>
    <w:rsid w:val="004C4672"/>
    <w:rsid w:val="004C543B"/>
    <w:rsid w:val="004E37ED"/>
    <w:rsid w:val="004F7D83"/>
    <w:rsid w:val="00516967"/>
    <w:rsid w:val="00554424"/>
    <w:rsid w:val="00555258"/>
    <w:rsid w:val="005732D1"/>
    <w:rsid w:val="00582E50"/>
    <w:rsid w:val="005A18C3"/>
    <w:rsid w:val="005A6130"/>
    <w:rsid w:val="005C562E"/>
    <w:rsid w:val="005D7E35"/>
    <w:rsid w:val="006059DF"/>
    <w:rsid w:val="00625594"/>
    <w:rsid w:val="006340E0"/>
    <w:rsid w:val="00672AB6"/>
    <w:rsid w:val="006B124D"/>
    <w:rsid w:val="006B1667"/>
    <w:rsid w:val="006C208A"/>
    <w:rsid w:val="00705BA6"/>
    <w:rsid w:val="00711BF2"/>
    <w:rsid w:val="00791FB6"/>
    <w:rsid w:val="007B642A"/>
    <w:rsid w:val="007E684E"/>
    <w:rsid w:val="007F511D"/>
    <w:rsid w:val="0082613E"/>
    <w:rsid w:val="00856872"/>
    <w:rsid w:val="008851B2"/>
    <w:rsid w:val="008C4F32"/>
    <w:rsid w:val="008D5C25"/>
    <w:rsid w:val="008E59B1"/>
    <w:rsid w:val="008F3454"/>
    <w:rsid w:val="0090585B"/>
    <w:rsid w:val="009059B1"/>
    <w:rsid w:val="009668D2"/>
    <w:rsid w:val="0098012C"/>
    <w:rsid w:val="0098570F"/>
    <w:rsid w:val="009B0F93"/>
    <w:rsid w:val="009E6F2B"/>
    <w:rsid w:val="00A01467"/>
    <w:rsid w:val="00A03C94"/>
    <w:rsid w:val="00A11BCD"/>
    <w:rsid w:val="00A17356"/>
    <w:rsid w:val="00A234FC"/>
    <w:rsid w:val="00A322CE"/>
    <w:rsid w:val="00A57476"/>
    <w:rsid w:val="00A82D1B"/>
    <w:rsid w:val="00A920E7"/>
    <w:rsid w:val="00A9787C"/>
    <w:rsid w:val="00AA3698"/>
    <w:rsid w:val="00AB0AD1"/>
    <w:rsid w:val="00AB4F93"/>
    <w:rsid w:val="00B044EE"/>
    <w:rsid w:val="00B47FA8"/>
    <w:rsid w:val="00B57619"/>
    <w:rsid w:val="00BB7995"/>
    <w:rsid w:val="00BD06D6"/>
    <w:rsid w:val="00BE27CF"/>
    <w:rsid w:val="00BF2A0E"/>
    <w:rsid w:val="00BF42EE"/>
    <w:rsid w:val="00C03EC1"/>
    <w:rsid w:val="00C26C94"/>
    <w:rsid w:val="00C35C8D"/>
    <w:rsid w:val="00C52D68"/>
    <w:rsid w:val="00C72C6D"/>
    <w:rsid w:val="00C763B8"/>
    <w:rsid w:val="00C863F5"/>
    <w:rsid w:val="00CA6CA1"/>
    <w:rsid w:val="00CB21E1"/>
    <w:rsid w:val="00CC2473"/>
    <w:rsid w:val="00CD31F4"/>
    <w:rsid w:val="00D07263"/>
    <w:rsid w:val="00D2176B"/>
    <w:rsid w:val="00D27787"/>
    <w:rsid w:val="00D3658B"/>
    <w:rsid w:val="00D50740"/>
    <w:rsid w:val="00E43C74"/>
    <w:rsid w:val="00E512A8"/>
    <w:rsid w:val="00E90139"/>
    <w:rsid w:val="00EA51D2"/>
    <w:rsid w:val="00EC747C"/>
    <w:rsid w:val="00EF0E8E"/>
    <w:rsid w:val="00F02678"/>
    <w:rsid w:val="00F0443B"/>
    <w:rsid w:val="00F053AC"/>
    <w:rsid w:val="00F25C31"/>
    <w:rsid w:val="00F43C99"/>
    <w:rsid w:val="00F605BA"/>
    <w:rsid w:val="00F702AA"/>
    <w:rsid w:val="00F73DCF"/>
    <w:rsid w:val="00F84A46"/>
    <w:rsid w:val="00F878CA"/>
    <w:rsid w:val="00F96D71"/>
    <w:rsid w:val="00FA0163"/>
    <w:rsid w:val="00FA24B2"/>
    <w:rsid w:val="00FB779B"/>
    <w:rsid w:val="00FC262B"/>
    <w:rsid w:val="00FC77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5FE3C"/>
  <w15:chartTrackingRefBased/>
  <w15:docId w15:val="{5CBEAF95-ED6B-4B24-B6FE-C6192AAD3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2678"/>
    <w:pPr>
      <w:ind w:left="720"/>
      <w:contextualSpacing/>
    </w:pPr>
  </w:style>
  <w:style w:type="character" w:styleId="Hyperlink">
    <w:name w:val="Hyperlink"/>
    <w:basedOn w:val="DefaultParagraphFont"/>
    <w:uiPriority w:val="99"/>
    <w:unhideWhenUsed/>
    <w:rsid w:val="00F02678"/>
    <w:rPr>
      <w:color w:val="0563C1" w:themeColor="hyperlink"/>
      <w:u w:val="single"/>
    </w:rPr>
  </w:style>
  <w:style w:type="character" w:styleId="UnresolvedMention">
    <w:name w:val="Unresolved Mention"/>
    <w:basedOn w:val="DefaultParagraphFont"/>
    <w:uiPriority w:val="99"/>
    <w:semiHidden/>
    <w:unhideWhenUsed/>
    <w:rsid w:val="00F02678"/>
    <w:rPr>
      <w:color w:val="605E5C"/>
      <w:shd w:val="clear" w:color="auto" w:fill="E1DFDD"/>
    </w:rPr>
  </w:style>
  <w:style w:type="character" w:styleId="FollowedHyperlink">
    <w:name w:val="FollowedHyperlink"/>
    <w:basedOn w:val="DefaultParagraphFont"/>
    <w:uiPriority w:val="99"/>
    <w:semiHidden/>
    <w:unhideWhenUsed/>
    <w:rsid w:val="00F02678"/>
    <w:rPr>
      <w:color w:val="954F72" w:themeColor="followedHyperlink"/>
      <w:u w:val="single"/>
    </w:rPr>
  </w:style>
  <w:style w:type="paragraph" w:styleId="Revision">
    <w:name w:val="Revision"/>
    <w:hidden/>
    <w:uiPriority w:val="99"/>
    <w:semiHidden/>
    <w:rsid w:val="00E90139"/>
    <w:pPr>
      <w:spacing w:after="0" w:line="240" w:lineRule="auto"/>
    </w:pPr>
  </w:style>
  <w:style w:type="character" w:styleId="CommentReference">
    <w:name w:val="annotation reference"/>
    <w:basedOn w:val="DefaultParagraphFont"/>
    <w:uiPriority w:val="99"/>
    <w:semiHidden/>
    <w:unhideWhenUsed/>
    <w:rsid w:val="009059B1"/>
    <w:rPr>
      <w:sz w:val="16"/>
      <w:szCs w:val="16"/>
    </w:rPr>
  </w:style>
  <w:style w:type="paragraph" w:styleId="CommentText">
    <w:name w:val="annotation text"/>
    <w:basedOn w:val="Normal"/>
    <w:link w:val="CommentTextChar"/>
    <w:uiPriority w:val="99"/>
    <w:semiHidden/>
    <w:unhideWhenUsed/>
    <w:rsid w:val="009059B1"/>
    <w:pPr>
      <w:spacing w:line="240" w:lineRule="auto"/>
    </w:pPr>
    <w:rPr>
      <w:sz w:val="20"/>
      <w:szCs w:val="20"/>
    </w:rPr>
  </w:style>
  <w:style w:type="character" w:customStyle="1" w:styleId="CommentTextChar">
    <w:name w:val="Comment Text Char"/>
    <w:basedOn w:val="DefaultParagraphFont"/>
    <w:link w:val="CommentText"/>
    <w:uiPriority w:val="99"/>
    <w:semiHidden/>
    <w:rsid w:val="009059B1"/>
    <w:rPr>
      <w:sz w:val="20"/>
      <w:szCs w:val="20"/>
    </w:rPr>
  </w:style>
  <w:style w:type="paragraph" w:styleId="CommentSubject">
    <w:name w:val="annotation subject"/>
    <w:basedOn w:val="CommentText"/>
    <w:next w:val="CommentText"/>
    <w:link w:val="CommentSubjectChar"/>
    <w:uiPriority w:val="99"/>
    <w:semiHidden/>
    <w:unhideWhenUsed/>
    <w:rsid w:val="009059B1"/>
    <w:rPr>
      <w:b/>
      <w:bCs/>
    </w:rPr>
  </w:style>
  <w:style w:type="character" w:customStyle="1" w:styleId="CommentSubjectChar">
    <w:name w:val="Comment Subject Char"/>
    <w:basedOn w:val="CommentTextChar"/>
    <w:link w:val="CommentSubject"/>
    <w:uiPriority w:val="99"/>
    <w:semiHidden/>
    <w:rsid w:val="009059B1"/>
    <w:rPr>
      <w:b/>
      <w:bCs/>
      <w:sz w:val="20"/>
      <w:szCs w:val="20"/>
    </w:rPr>
  </w:style>
  <w:style w:type="paragraph" w:styleId="BalloonText">
    <w:name w:val="Balloon Text"/>
    <w:basedOn w:val="Normal"/>
    <w:link w:val="BalloonTextChar"/>
    <w:uiPriority w:val="99"/>
    <w:semiHidden/>
    <w:unhideWhenUsed/>
    <w:rsid w:val="00A82D1B"/>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82D1B"/>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088240">
      <w:bodyDiv w:val="1"/>
      <w:marLeft w:val="0"/>
      <w:marRight w:val="0"/>
      <w:marTop w:val="0"/>
      <w:marBottom w:val="0"/>
      <w:divBdr>
        <w:top w:val="none" w:sz="0" w:space="0" w:color="auto"/>
        <w:left w:val="none" w:sz="0" w:space="0" w:color="auto"/>
        <w:bottom w:val="none" w:sz="0" w:space="0" w:color="auto"/>
        <w:right w:val="none" w:sz="0" w:space="0" w:color="auto"/>
      </w:divBdr>
    </w:div>
    <w:div w:id="1176773648">
      <w:bodyDiv w:val="1"/>
      <w:marLeft w:val="0"/>
      <w:marRight w:val="0"/>
      <w:marTop w:val="0"/>
      <w:marBottom w:val="0"/>
      <w:divBdr>
        <w:top w:val="none" w:sz="0" w:space="0" w:color="auto"/>
        <w:left w:val="none" w:sz="0" w:space="0" w:color="auto"/>
        <w:bottom w:val="none" w:sz="0" w:space="0" w:color="auto"/>
        <w:right w:val="none" w:sz="0" w:space="0" w:color="auto"/>
      </w:divBdr>
    </w:div>
    <w:div w:id="1698195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sccas.osu.edu/new-general-education-gen-goals-and-elos" TargetMode="External"/><Relationship Id="rId5" Type="http://schemas.openxmlformats.org/officeDocument/2006/relationships/hyperlink" Target="https://asccas.osu.edu/curriculum/syllabus-element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818</Words>
  <Characters>4668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Cody, Emily</dc:creator>
  <cp:keywords/>
  <dc:description/>
  <cp:lastModifiedBy>Cody, Emily</cp:lastModifiedBy>
  <cp:revision>3</cp:revision>
  <dcterms:created xsi:type="dcterms:W3CDTF">2022-09-22T17:02:00Z</dcterms:created>
  <dcterms:modified xsi:type="dcterms:W3CDTF">2022-09-22T17:02:00Z</dcterms:modified>
</cp:coreProperties>
</file>